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7D1B">
      <w:pPr>
        <w:pStyle w:val="NoSpacing"/>
        <w:rPr>
          <w:rFonts w:ascii="Times New Roman" w:hAnsi="Times New Roman"/>
          <w:b/>
          <w:sz w:val="12"/>
          <w:szCs w:val="12"/>
        </w:rPr>
      </w:pPr>
    </w:p>
    <w:p w:rsidR="00000000" w:rsidRDefault="001F7D1B">
      <w:pPr>
        <w:ind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1 июля 2013 года вступил в силу Технический регламент «О безопасности зерна».</w:t>
      </w:r>
    </w:p>
    <w:p w:rsidR="00000000" w:rsidRDefault="001F7D1B">
      <w:pPr>
        <w:shd w:val="clear" w:color="auto" w:fill="FFFFFF"/>
        <w:suppressAutoHyphens w:val="0"/>
        <w:spacing w:line="276" w:lineRule="auto"/>
        <w:ind w:left="0" w:righ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Технический регламент Таможенного союза «О безопасности зерна» (ТР ТС 015/2011) принятый Решением Комиссии Таможенного союза № 874 от 09.12.2011 устанавливает обязательные дл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я применения и исполнения на единой таможенной территории Таможенного союза требования к зерну и связанные с ними требования к процессам производства, хранения, перевозки, реализации и утилизации зерна, в целях защиты жизни и здоровья человека, имущества,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окружающей среды, жизни и здоровья животных и растений, а также предупреждения действий, вводящих в заблуждение потребителей зерна. </w:t>
      </w:r>
    </w:p>
    <w:p w:rsidR="00000000" w:rsidRDefault="001F7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статьи 1 ТР ТС 015/2011,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настоящий технический регламент распространяется на зерно, выпускаемое в обращение на еди</w:t>
      </w:r>
      <w:r>
        <w:rPr>
          <w:rFonts w:ascii="Times New Roman" w:hAnsi="Times New Roman" w:cs="Times New Roman"/>
          <w:sz w:val="24"/>
          <w:szCs w:val="24"/>
        </w:rPr>
        <w:t>ной таможенной территории Таможенного союза, используемое для пищевых и кормовых целей.</w:t>
      </w:r>
    </w:p>
    <w:p w:rsidR="00000000" w:rsidRDefault="001F7D1B">
      <w:pPr>
        <w:suppressAutoHyphens w:val="0"/>
        <w:autoSpaceDE w:val="0"/>
        <w:spacing w:line="276" w:lineRule="auto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со статьей 2 ТР ТС 015/2011, </w:t>
      </w:r>
      <w:r>
        <w:rPr>
          <w:rFonts w:ascii="Times New Roman" w:hAnsi="Times New Roman"/>
          <w:sz w:val="24"/>
          <w:szCs w:val="24"/>
        </w:rPr>
        <w:t>выпуск в обращение зерна - это купля-продажа и иные способы передачи зерна на единой таможенной территории Таможенного союза</w:t>
      </w:r>
      <w:r>
        <w:rPr>
          <w:rFonts w:ascii="Times New Roman" w:hAnsi="Times New Roman"/>
          <w:sz w:val="24"/>
          <w:szCs w:val="24"/>
        </w:rPr>
        <w:t>, начиная с изготовителя или импортера.</w:t>
      </w:r>
    </w:p>
    <w:p w:rsidR="00000000" w:rsidRDefault="001F7D1B">
      <w:pPr>
        <w:shd w:val="clear" w:color="auto" w:fill="FFFFFF"/>
        <w:suppressAutoHyphens w:val="0"/>
        <w:spacing w:line="276" w:lineRule="auto"/>
        <w:ind w:left="0" w:righ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Статья 3 ТР ТС 015/2011 определяет, что зерно, поставляемое на пищевые и кормовые цели, выпускается в обращение на единой таможенной территории Таможенного союза при условии, что оно прошло необходимые процедуры оцен</w:t>
      </w:r>
      <w:r>
        <w:rPr>
          <w:rFonts w:ascii="Times New Roman" w:hAnsi="Times New Roman"/>
          <w:sz w:val="24"/>
          <w:szCs w:val="24"/>
          <w:shd w:val="clear" w:color="auto" w:fill="FFFFFF"/>
        </w:rPr>
        <w:t>ки (подтверждения) соответствия, установленные настоящим техническим регламентом, а также другими техническими регламентами Таможенного союза, действие которых распространяется на зерно.</w:t>
      </w:r>
    </w:p>
    <w:p w:rsidR="00000000" w:rsidRDefault="001F7D1B">
      <w:pPr>
        <w:shd w:val="clear" w:color="auto" w:fill="FFFFFF"/>
        <w:suppressAutoHyphens w:val="0"/>
        <w:spacing w:line="276" w:lineRule="auto"/>
        <w:ind w:left="0" w:righ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Каждая партия поставляемого зерна при его выпуске в обращение на един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ой таможенной территории Таможенного союза сопровождается товаросопроводительными документами, которые должны содержать информацию о декларации о соответствии партии зерна требованиям настоящего технического регламента.</w:t>
      </w:r>
    </w:p>
    <w:p w:rsidR="00000000" w:rsidRDefault="001F7D1B">
      <w:pPr>
        <w:widowControl w:val="0"/>
        <w:suppressAutoHyphens w:val="0"/>
        <w:autoSpaceDE w:val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статьи 4 </w:t>
      </w:r>
      <w:r>
        <w:rPr>
          <w:rFonts w:ascii="Times New Roman" w:hAnsi="Times New Roman"/>
          <w:sz w:val="24"/>
          <w:szCs w:val="24"/>
          <w:shd w:val="clear" w:color="auto" w:fill="FFFFFF"/>
        </w:rPr>
        <w:t>ТР ТС 015/2011 «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z w:val="24"/>
          <w:szCs w:val="24"/>
        </w:rPr>
        <w:t>ебования безопасности»:</w:t>
      </w:r>
    </w:p>
    <w:p w:rsidR="00000000" w:rsidRDefault="001F7D1B">
      <w:pPr>
        <w:widowControl w:val="0"/>
        <w:suppressAutoHyphens w:val="0"/>
        <w:autoSpaceDE w:val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 токсичных элементов, микотоксинов, бенз(а)пирена, пестицидов, радионуклидов, зараженности вредителями и вредных примесей в зерне, поставляемом на пищевые цели, не должны превышать предельно допустимых уровней, указанны</w:t>
      </w:r>
      <w:r>
        <w:rPr>
          <w:rFonts w:ascii="Times New Roman" w:hAnsi="Times New Roman"/>
          <w:sz w:val="24"/>
          <w:szCs w:val="24"/>
        </w:rPr>
        <w:t xml:space="preserve">х в </w:t>
      </w:r>
      <w:hyperlink r:id="rId5" w:anchor="Par344" w:history="1">
        <w:r>
          <w:rPr>
            <w:rStyle w:val="a5"/>
            <w:rFonts w:ascii="Times New Roman" w:hAnsi="Times New Roman"/>
          </w:rPr>
          <w:t>приложениях 2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anchor="Par526" w:history="1">
        <w:r>
          <w:rPr>
            <w:rStyle w:val="a5"/>
            <w:rFonts w:ascii="Times New Roman" w:hAnsi="Times New Roman"/>
          </w:rPr>
          <w:t>3</w:t>
        </w:r>
      </w:hyperlink>
      <w:r>
        <w:rPr>
          <w:rFonts w:ascii="Times New Roman" w:hAnsi="Times New Roman"/>
          <w:sz w:val="24"/>
          <w:szCs w:val="24"/>
        </w:rPr>
        <w:t xml:space="preserve"> к настоящему техническому регламенту.</w:t>
      </w:r>
    </w:p>
    <w:p w:rsidR="00000000" w:rsidRDefault="001F7D1B">
      <w:pPr>
        <w:widowControl w:val="0"/>
        <w:suppressAutoHyphens w:val="0"/>
        <w:autoSpaceDE w:val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Показатели токсичных элементов, микотоксинов, пестицидов, радионуклидов, зараженности </w:t>
      </w:r>
      <w:r>
        <w:rPr>
          <w:rFonts w:ascii="Times New Roman" w:hAnsi="Times New Roman"/>
          <w:sz w:val="24"/>
          <w:szCs w:val="24"/>
        </w:rPr>
        <w:t xml:space="preserve">вредителями и вредных примесей в зерне, поставляемом на кормовые цели, не должны превышать предельно допустимых уровней, указанных в </w:t>
      </w:r>
      <w:hyperlink r:id="rId7" w:anchor="Par656" w:history="1">
        <w:r>
          <w:rPr>
            <w:rStyle w:val="a5"/>
            <w:rFonts w:ascii="Times New Roman" w:hAnsi="Times New Roman"/>
          </w:rPr>
          <w:t>приложениях 4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" w:anchor="Par837" w:history="1">
        <w:r>
          <w:rPr>
            <w:rStyle w:val="a5"/>
            <w:rFonts w:ascii="Times New Roman" w:hAnsi="Times New Roman"/>
          </w:rPr>
          <w:t>5</w:t>
        </w:r>
      </w:hyperlink>
      <w:r>
        <w:rPr>
          <w:rFonts w:ascii="Times New Roman" w:hAnsi="Times New Roman"/>
          <w:sz w:val="24"/>
          <w:szCs w:val="24"/>
        </w:rPr>
        <w:t xml:space="preserve"> к настоящему техническому регламенту…</w:t>
      </w:r>
    </w:p>
    <w:p w:rsidR="00000000" w:rsidRDefault="001F7D1B">
      <w:pPr>
        <w:widowControl w:val="0"/>
        <w:suppressAutoHyphens w:val="0"/>
        <w:autoSpaceDE w:val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Хранение зерна осуществляется в зернохранилищах, обеспечивающих безопасность зерна и сохранность его потребительских свойств, при соблюдении требований к процессам хранения зерна, установленных настоящим техническ</w:t>
      </w:r>
      <w:r>
        <w:rPr>
          <w:rFonts w:ascii="Times New Roman" w:hAnsi="Times New Roman"/>
          <w:sz w:val="24"/>
          <w:szCs w:val="24"/>
        </w:rPr>
        <w:t>им регламентом, а также условий хранения, установленных национальным законодательством государства - члена Таможенного союза.</w:t>
      </w:r>
    </w:p>
    <w:p w:rsidR="00000000" w:rsidRDefault="001F7D1B">
      <w:pPr>
        <w:widowControl w:val="0"/>
        <w:suppressAutoHyphens w:val="0"/>
        <w:autoSpaceDE w:val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Поверхности стен, потолков, несущих конструкций, дверей, пола производственных помещений, а также силосов и бункеров должны быт</w:t>
      </w:r>
      <w:r>
        <w:rPr>
          <w:rFonts w:ascii="Times New Roman" w:hAnsi="Times New Roman"/>
          <w:sz w:val="24"/>
          <w:szCs w:val="24"/>
        </w:rPr>
        <w:t>ь доступными для их очистки и обеззараживания. Состояние кровли и стен зернохранилищ, конструкции входных отверстий каналов активной вентиляции должны обеспечить предотвращение попадания в них атмосферных осадков и посторонних предметов.</w:t>
      </w:r>
    </w:p>
    <w:p w:rsidR="00000000" w:rsidRDefault="001F7D1B">
      <w:pPr>
        <w:widowControl w:val="0"/>
        <w:suppressAutoHyphens w:val="0"/>
        <w:autoSpaceDE w:val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Технологический</w:t>
      </w:r>
      <w:r>
        <w:rPr>
          <w:rFonts w:ascii="Times New Roman" w:hAnsi="Times New Roman"/>
          <w:sz w:val="24"/>
          <w:szCs w:val="24"/>
        </w:rPr>
        <w:t xml:space="preserve"> процесс обработки зерна в зернохранилищах должен обеспечивать сушку, очистку и обеззараживание зерна до уровня, обеспечивающего безопасное и стойкое для хранения состояние.</w:t>
      </w:r>
    </w:p>
    <w:p w:rsidR="00000000" w:rsidRDefault="001F7D1B">
      <w:pPr>
        <w:widowControl w:val="0"/>
        <w:suppressAutoHyphens w:val="0"/>
        <w:autoSpaceDE w:val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Процесс обеззараживания зараженного вредителями зерна должен обеспечивать безо</w:t>
      </w:r>
      <w:r>
        <w:rPr>
          <w:rFonts w:ascii="Times New Roman" w:hAnsi="Times New Roman"/>
          <w:sz w:val="24"/>
          <w:szCs w:val="24"/>
        </w:rPr>
        <w:t>пасность зерна в соответствии с требованиями, установленными настоящим техническим регламентом.</w:t>
      </w:r>
    </w:p>
    <w:p w:rsidR="00000000" w:rsidRDefault="001F7D1B">
      <w:pPr>
        <w:widowControl w:val="0"/>
        <w:suppressAutoHyphens w:val="0"/>
        <w:autoSpaceDE w:val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bookmarkStart w:id="0" w:name="Par1201"/>
      <w:bookmarkEnd w:id="0"/>
      <w:r>
        <w:rPr>
          <w:rFonts w:ascii="Times New Roman" w:hAnsi="Times New Roman"/>
          <w:sz w:val="24"/>
          <w:szCs w:val="24"/>
        </w:rPr>
        <w:t>11. В зернохранилище в течение всего периода хранения зерна должна быть организована проверка условий его хранения (влажность, температура), а также показателей</w:t>
      </w:r>
      <w:r>
        <w:rPr>
          <w:rFonts w:ascii="Times New Roman" w:hAnsi="Times New Roman"/>
          <w:sz w:val="24"/>
          <w:szCs w:val="24"/>
        </w:rPr>
        <w:t xml:space="preserve"> зараженности вредителями, цвета зерна и наличия постороннего запаха.</w:t>
      </w:r>
    </w:p>
    <w:p w:rsidR="00000000" w:rsidRDefault="001F7D1B">
      <w:pPr>
        <w:widowControl w:val="0"/>
        <w:suppressAutoHyphens w:val="0"/>
        <w:autoSpaceDE w:val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В зернохранилищах при хранении зерна должны обеспечиваться условия, </w:t>
      </w:r>
      <w:r>
        <w:rPr>
          <w:rFonts w:ascii="Times New Roman" w:hAnsi="Times New Roman"/>
          <w:sz w:val="24"/>
          <w:szCs w:val="24"/>
        </w:rPr>
        <w:lastRenderedPageBreak/>
        <w:t>позволяющие исключить возможность самовозгорания зерна, а также условия, обеспечивающие взрыво - и пожаробезопасно</w:t>
      </w:r>
      <w:r>
        <w:rPr>
          <w:rFonts w:ascii="Times New Roman" w:hAnsi="Times New Roman"/>
          <w:sz w:val="24"/>
          <w:szCs w:val="24"/>
        </w:rPr>
        <w:t>сть.</w:t>
      </w:r>
    </w:p>
    <w:p w:rsidR="00000000" w:rsidRDefault="001F7D1B">
      <w:pPr>
        <w:shd w:val="clear" w:color="auto" w:fill="FFFFFF"/>
        <w:suppressAutoHyphens w:val="0"/>
        <w:spacing w:line="276" w:lineRule="auto"/>
        <w:ind w:left="0" w:righ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со статьей 6 данного Технического регламента, оценка соответствия поставляемого зерна требованиям настоящего технического регламента проводится в формах: </w:t>
      </w:r>
    </w:p>
    <w:p w:rsidR="00000000" w:rsidRDefault="001F7D1B">
      <w:pPr>
        <w:shd w:val="clear" w:color="auto" w:fill="FFFFFF"/>
        <w:suppressAutoHyphens w:val="0"/>
        <w:spacing w:line="276" w:lineRule="auto"/>
        <w:ind w:left="0" w:righ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1) подтверждения (декларирования) соответствия зерна; </w:t>
      </w:r>
    </w:p>
    <w:p w:rsidR="00000000" w:rsidRDefault="001F7D1B">
      <w:pPr>
        <w:widowControl w:val="0"/>
        <w:shd w:val="clear" w:color="auto" w:fill="FFFFFF"/>
        <w:suppressAutoHyphens w:val="0"/>
        <w:spacing w:line="276" w:lineRule="auto"/>
        <w:ind w:left="0" w:right="0" w:firstLine="567"/>
        <w:jc w:val="both"/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ru-RU" w:bidi="ru-RU"/>
        </w:rPr>
        <w:t>2) государственного контро</w:t>
      </w:r>
      <w:r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ru-RU" w:bidi="ru-RU"/>
        </w:rPr>
        <w:t>ля (надзора) за соблюдением требований настоящего технического регламента в отношении зерна и связанных с требованиями к нему процессов производства, хранения, перевозки, реализации и утилизации зерна.</w:t>
      </w:r>
    </w:p>
    <w:p w:rsidR="00000000" w:rsidRDefault="001F7D1B">
      <w:pPr>
        <w:widowControl w:val="0"/>
        <w:shd w:val="clear" w:color="auto" w:fill="FFFFFF"/>
        <w:suppressAutoHyphens w:val="0"/>
        <w:spacing w:line="276" w:lineRule="auto"/>
        <w:ind w:left="0" w:right="0" w:firstLine="567"/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eastAsia="ru-RU" w:bidi="ru-RU"/>
        </w:rPr>
        <w:t>Административная ответственность по данным правонаруше</w:t>
      </w:r>
      <w:r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eastAsia="ru-RU" w:bidi="ru-RU"/>
        </w:rPr>
        <w:t>ниям предусмотрена статьей 14.43. КоАП РФ – нарушение изготовителем, исполнителем (лицом, выполняющим функции иностранного изготовителя), продавцом требований технических регламентов. За пять месяцев текущего года специалистами отдела фитосанитарного надзо</w:t>
      </w:r>
      <w:r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eastAsia="ru-RU" w:bidi="ru-RU"/>
        </w:rPr>
        <w:t>ра Управления Россельхознадзора по Кировской области и Удмуртской Республике выявлено 2 нарушения,  касающиеся ч. 1 ст. 14.43. КоАП РФ, а именно, выпуск  в обращение на единую таможенную территорию Таможенного союза зерна, без указания в  товарносопроводит</w:t>
      </w:r>
      <w:r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eastAsia="ru-RU" w:bidi="ru-RU"/>
        </w:rPr>
        <w:t>ельных документах информации о декларации о соответствии партий зерна требованиям  технического регламента Таможенного союза «О безопасности зерна»</w:t>
      </w:r>
    </w:p>
    <w:p w:rsidR="00000000" w:rsidRDefault="001F7D1B">
      <w:pPr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000000" w:rsidRDefault="001F7D1B">
      <w:pPr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000000" w:rsidRDefault="001F7D1B">
      <w:pPr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000000" w:rsidRDefault="001F7D1B">
      <w:pPr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000000" w:rsidRDefault="001F7D1B">
      <w:pPr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000000" w:rsidRDefault="001F7D1B">
      <w:pPr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000000" w:rsidRDefault="001F7D1B">
      <w:pPr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000000" w:rsidRDefault="001F7D1B">
      <w:pPr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000000" w:rsidRDefault="001F7D1B">
      <w:pPr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000000" w:rsidRDefault="001F7D1B">
      <w:pPr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000000" w:rsidRDefault="001F7D1B">
      <w:pPr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000000" w:rsidRDefault="001F7D1B">
      <w:pPr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000000" w:rsidRDefault="001F7D1B">
      <w:pPr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000000" w:rsidRDefault="001F7D1B">
      <w:pPr>
        <w:ind w:left="0" w:right="0"/>
        <w:jc w:val="both"/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ru-RU" w:bidi="ru-RU"/>
        </w:rPr>
      </w:pPr>
    </w:p>
    <w:sectPr w:rsidR="00000000">
      <w:pgSz w:w="11906" w:h="16838"/>
      <w:pgMar w:top="259" w:right="850" w:bottom="16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6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D1B"/>
    <w:rsid w:val="001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left="-340" w:right="57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10">
    <w:name w:val="Основной шрифт абзаца1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a6">
    <w:name w:val="Текст выноски Знак"/>
    <w:rPr>
      <w:rFonts w:ascii="Segoe UI" w:eastAsia="Calibri" w:hAnsi="Segoe UI" w:cs="Segoe UI"/>
      <w:sz w:val="18"/>
      <w:szCs w:val="18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Normal (Web)"/>
    <w:basedOn w:val="a"/>
    <w:pPr>
      <w:spacing w:before="280" w:after="280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pPr>
      <w:widowControl w:val="0"/>
      <w:suppressAutoHyphens/>
      <w:spacing w:after="200" w:line="276" w:lineRule="auto"/>
    </w:pPr>
    <w:rPr>
      <w:rFonts w:ascii="Calibri" w:eastAsia="Lucida Sans Unicode" w:hAnsi="Calibri" w:cs="font164"/>
      <w:kern w:val="1"/>
      <w:sz w:val="22"/>
      <w:szCs w:val="22"/>
      <w:lang w:eastAsia="ar-SA"/>
    </w:rPr>
  </w:style>
  <w:style w:type="paragraph" w:styleId="ab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&#1056;&#1040;&#1049;&#1054;&#1053;&#1053;&#1048;&#1050;&#1048;%20&#1055;&#1086;&#1089;&#1090;&#1072;&#1085;&#1086;&#1074;&#1083;&#1077;&#1085;&#1080;&#1103;%202016/&#1055;&#1077;&#1085;&#1090;&#1077;&#1075;&#1086;&#1074;//C:/Users/RayonKirov/Desktop/&#1054;&#1054;&#1054;%20&#1040;&#1060;%20&#1057;&#1090;&#1088;&#1086;&#1080;&#1090;&#1077;&#1083;&#1100;%20&#1087;&#1083;-&#1103;%20&#1076;&#1086;&#1082;-&#1103;%20&#1080;%20&#1074;&#1099;-&#1103;%20&#1087;&#1088;-&#1082;&#1072;/&#1058;&#1056;%20&#1058;&#1057;%20015%202011%20&#1054;%20&#1073;&#1077;&#1079;&#1086;&#1087;&#1072;&#1089;&#1085;&#1086;&#1089;&#1090;&#1080;%20&#1079;&#1077;&#1088;&#1085;&#1072;.rtf" TargetMode="External"/><Relationship Id="rId3" Type="http://schemas.openxmlformats.org/officeDocument/2006/relationships/settings" Target="settings.xml"/><Relationship Id="rId7" Type="http://schemas.openxmlformats.org/officeDocument/2006/relationships/hyperlink" Target="../../&#1056;&#1040;&#1049;&#1054;&#1053;&#1053;&#1048;&#1050;&#1048;%20&#1055;&#1086;&#1089;&#1090;&#1072;&#1085;&#1086;&#1074;&#1083;&#1077;&#1085;&#1080;&#1103;%202016/&#1055;&#1077;&#1085;&#1090;&#1077;&#1075;&#1086;&#1074;//C:/Users/RayonKirov/Desktop/&#1054;&#1054;&#1054;%20&#1040;&#1060;%20&#1057;&#1090;&#1088;&#1086;&#1080;&#1090;&#1077;&#1083;&#1100;%20&#1087;&#1083;-&#1103;%20&#1076;&#1086;&#1082;-&#1103;%20&#1080;%20&#1074;&#1099;-&#1103;%20&#1087;&#1088;-&#1082;&#1072;/&#1058;&#1056;%20&#1058;&#1057;%20015%202011%20&#1054;%20&#1073;&#1077;&#1079;&#1086;&#1087;&#1072;&#1089;&#1085;&#1086;&#1089;&#1090;&#1080;%20&#1079;&#1077;&#1088;&#1085;&#1072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&#1056;&#1040;&#1049;&#1054;&#1053;&#1053;&#1048;&#1050;&#1048;%20&#1055;&#1086;&#1089;&#1090;&#1072;&#1085;&#1086;&#1074;&#1083;&#1077;&#1085;&#1080;&#1103;%202016/&#1055;&#1077;&#1085;&#1090;&#1077;&#1075;&#1086;&#1074;//C:/Users/RayonKirov/Desktop/&#1054;&#1054;&#1054;%20&#1040;&#1060;%20&#1057;&#1090;&#1088;&#1086;&#1080;&#1090;&#1077;&#1083;&#1100;%20&#1087;&#1083;-&#1103;%20&#1076;&#1086;&#1082;-&#1103;%20&#1080;%20&#1074;&#1099;-&#1103;%20&#1087;&#1088;-&#1082;&#1072;/&#1058;&#1056;%20&#1058;&#1057;%20015%202011%20&#1054;%20&#1073;&#1077;&#1079;&#1086;&#1087;&#1072;&#1089;&#1085;&#1086;&#1089;&#1090;&#1080;%20&#1079;&#1077;&#1088;&#1085;&#1072;.rtf" TargetMode="External"/><Relationship Id="rId5" Type="http://schemas.openxmlformats.org/officeDocument/2006/relationships/hyperlink" Target="../../&#1056;&#1040;&#1049;&#1054;&#1053;&#1053;&#1048;&#1050;&#1048;%20&#1055;&#1086;&#1089;&#1090;&#1072;&#1085;&#1086;&#1074;&#1083;&#1077;&#1085;&#1080;&#1103;%202016/&#1055;&#1077;&#1085;&#1090;&#1077;&#1075;&#1086;&#1074;//C:/Users/RayonKirov/Desktop/&#1054;&#1054;&#1054;%20&#1040;&#1060;%20&#1057;&#1090;&#1088;&#1086;&#1080;&#1090;&#1077;&#1083;&#1100;%20&#1087;&#1083;-&#1103;%20&#1076;&#1086;&#1082;-&#1103;%20&#1080;%20&#1074;&#1099;-&#1103;%20&#1087;&#1088;-&#1082;&#1072;/&#1058;&#1056;%20&#1058;&#1057;%20015%202011%20&#1054;%20&#1073;&#1077;&#1079;&#1086;&#1087;&#1072;&#1089;&#1085;&#1086;&#1089;&#1090;&#1080;%20&#1079;&#1077;&#1088;&#1085;&#1072;.r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Ustugova</cp:lastModifiedBy>
  <cp:revision>2</cp:revision>
  <cp:lastPrinted>2016-05-27T11:24:00Z</cp:lastPrinted>
  <dcterms:created xsi:type="dcterms:W3CDTF">2016-05-27T11:34:00Z</dcterms:created>
  <dcterms:modified xsi:type="dcterms:W3CDTF">2016-05-27T11:34:00Z</dcterms:modified>
</cp:coreProperties>
</file>